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OLLAINVILLE</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vendredi 21 janvier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5 au 11, 4 au 10, 12B, 12T, 14B rue DES ECOLES</w:t>
      </w:r>
    </w:p>
    <w:p w:rsidRPr="0035053F" w:rsidP="001348F6">
      <w:pPr>
        <w:rPr>
          <w:rFonts w:asciiTheme="minorHAnsi" w:hAnsiTheme="minorHAnsi" w:cstheme="minorHAnsi"/>
          <w:sz w:val="20"/>
        </w:rPr>
      </w:pPr>
      <w:r w:rsidRPr="0035053F" w:rsidR="00E8145C">
        <w:rPr>
          <w:rFonts w:asciiTheme="minorHAnsi" w:hAnsiTheme="minorHAnsi" w:cstheme="minorHAnsi"/>
          <w:sz w:val="20"/>
        </w:rPr>
        <w:t>13 au 17, 21 au 25, 12, 16 au 28, 16B, 26B, 25B ROUTE DE LIMOURS</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4, avenue du Pacifique</w:t>
          </w:r>
        </w:p>
        <w:p w:rsidR="004754EE" w:rsidRPr="004754EE" w:rsidP="004754EE">
          <w:pPr>
            <w:pStyle w:val="06Pieddepage"/>
            <w:widowControl/>
            <w:ind w:left="0"/>
            <w:rPr>
              <w:rFonts w:cs="Calibri"/>
              <w:color w:val="005EB8"/>
            </w:rPr>
          </w:pPr>
          <w:r w:rsidRPr="004754EE">
            <w:rPr>
              <w:rFonts w:cs="Calibri"/>
              <w:color w:val="005EB8"/>
            </w:rPr>
            <w:t>91944 LES ULIS CEDEX</w:t>
          </w:r>
        </w:p>
        <w:p w:rsidR="004754EE" w:rsidRPr="004754EE" w:rsidP="004754EE">
          <w:pPr>
            <w:pStyle w:val="06Pieddepage"/>
            <w:widowControl/>
            <w:ind w:left="0"/>
            <w:rPr>
              <w:rFonts w:cs="Calibri"/>
              <w:color w:val="005EB8"/>
            </w:rPr>
          </w:pPr>
          <w:r w:rsidRPr="004754EE">
            <w:rPr>
              <w:rFonts w:cs="Calibri"/>
              <w:color w:val="005EB8"/>
            </w:rPr>
            <w:t>91940</w:t>
          </w:r>
          <w:r w:rsidRPr="004754EE">
            <w:rPr>
              <w:rFonts w:cs="Calibri"/>
              <w:color w:val="005EB8"/>
            </w:rPr>
            <w:t xml:space="preserve">  </w:t>
          </w:r>
          <w:r w:rsidRPr="004754EE">
            <w:rPr>
              <w:rFonts w:cs="Calibri"/>
              <w:color w:val="005EB8"/>
            </w:rPr>
            <w:t>Les Ulis</w:t>
          </w:r>
        </w:p>
        <w:p w:rsidR="004754EE" w:rsidRPr="004754EE" w:rsidP="004754EE">
          <w:pPr>
            <w:pStyle w:val="06Pieddepage"/>
            <w:widowControl/>
            <w:ind w:left="0"/>
            <w:rPr>
              <w:rFonts w:cs="Calibri"/>
              <w:color w:val="005EB8"/>
            </w:rPr>
          </w:pPr>
          <w:r w:rsidRPr="004754EE">
            <w:rPr>
              <w:rFonts w:cs="Calibri"/>
              <w:color w:val="005EB8"/>
            </w:rPr>
            <w:t xml:space="preserve">Tél. : </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r w:rsidRPr="004754EE">
            <w:rPr>
              <w:rFonts w:ascii="Calibri" w:hAnsi="Calibri" w:cs="Calibri"/>
              <w:color w:val="005EB8"/>
              <w:sz w:val="14"/>
            </w:rPr>
            <w:t>emilie.coraboeuf@enedis-grdf.fr</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